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BB90" w14:textId="4EE504AF" w:rsidR="00520B85" w:rsidRPr="008214A5" w:rsidRDefault="00960481" w:rsidP="008214A5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8214A5">
        <w:rPr>
          <w:b/>
          <w:bCs/>
          <w:sz w:val="28"/>
          <w:szCs w:val="28"/>
          <w:lang w:val="fr-FR"/>
        </w:rPr>
        <w:t>COMPTE-RENDU DE LA REUNION DU 4 MAI 2022</w:t>
      </w:r>
    </w:p>
    <w:p w14:paraId="42F18145" w14:textId="45F909C9" w:rsidR="00960481" w:rsidRDefault="00960481" w:rsidP="00960481">
      <w:pPr>
        <w:spacing w:after="0" w:line="240" w:lineRule="auto"/>
        <w:jc w:val="both"/>
        <w:rPr>
          <w:lang w:val="fr-FR"/>
        </w:rPr>
      </w:pPr>
    </w:p>
    <w:p w14:paraId="7DF93610" w14:textId="6D43CC59" w:rsidR="00960481" w:rsidRDefault="00960481" w:rsidP="0096048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Présents : Junius C, Douin Y, Vincent JM, </w:t>
      </w:r>
      <w:proofErr w:type="spellStart"/>
      <w:r>
        <w:rPr>
          <w:lang w:val="fr-FR"/>
        </w:rPr>
        <w:t>Hakin</w:t>
      </w:r>
      <w:proofErr w:type="spellEnd"/>
      <w:r>
        <w:rPr>
          <w:lang w:val="fr-FR"/>
        </w:rPr>
        <w:t xml:space="preserve"> L, Meyers L, </w:t>
      </w:r>
      <w:proofErr w:type="spellStart"/>
      <w:r>
        <w:rPr>
          <w:lang w:val="fr-FR"/>
        </w:rPr>
        <w:t>Croes</w:t>
      </w:r>
      <w:proofErr w:type="spellEnd"/>
      <w:r>
        <w:rPr>
          <w:lang w:val="fr-FR"/>
        </w:rPr>
        <w:t xml:space="preserve"> D, </w:t>
      </w:r>
      <w:proofErr w:type="spellStart"/>
      <w:r>
        <w:rPr>
          <w:lang w:val="fr-FR"/>
        </w:rPr>
        <w:t>Rousch</w:t>
      </w:r>
      <w:proofErr w:type="spellEnd"/>
      <w:r>
        <w:rPr>
          <w:lang w:val="fr-FR"/>
        </w:rPr>
        <w:t xml:space="preserve"> H, </w:t>
      </w:r>
      <w:proofErr w:type="spellStart"/>
      <w:r>
        <w:rPr>
          <w:lang w:val="fr-FR"/>
        </w:rPr>
        <w:t>Bletard</w:t>
      </w:r>
      <w:proofErr w:type="spellEnd"/>
      <w:r>
        <w:rPr>
          <w:lang w:val="fr-FR"/>
        </w:rPr>
        <w:t xml:space="preserve"> C, Maurage D</w:t>
      </w:r>
    </w:p>
    <w:p w14:paraId="5D037169" w14:textId="6822A561" w:rsidR="00960481" w:rsidRDefault="00960481" w:rsidP="00960481">
      <w:pPr>
        <w:spacing w:after="0" w:line="240" w:lineRule="auto"/>
        <w:jc w:val="both"/>
        <w:rPr>
          <w:lang w:val="fr-FR"/>
        </w:rPr>
      </w:pPr>
    </w:p>
    <w:p w14:paraId="142F6B15" w14:textId="78727176" w:rsidR="00960481" w:rsidRDefault="00960481" w:rsidP="0096048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Quelques chiffres au niveau des affiliés :</w:t>
      </w:r>
    </w:p>
    <w:p w14:paraId="5977B925" w14:textId="77777777" w:rsidR="00960481" w:rsidRDefault="00960481" w:rsidP="00960481">
      <w:pPr>
        <w:spacing w:after="0" w:line="240" w:lineRule="auto"/>
        <w:jc w:val="both"/>
        <w:rPr>
          <w:lang w:val="fr-FR"/>
        </w:rPr>
      </w:pPr>
    </w:p>
    <w:p w14:paraId="35E5C1CD" w14:textId="3975D43D" w:rsidR="00960481" w:rsidRDefault="00960481" w:rsidP="0096048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Il y a en province de Liège 3477 affiliés</w:t>
      </w:r>
      <w:r w:rsidR="00BB3909">
        <w:rPr>
          <w:lang w:val="fr-FR"/>
        </w:rPr>
        <w:t xml:space="preserve"> et licences récréatives</w:t>
      </w:r>
      <w:r>
        <w:rPr>
          <w:lang w:val="fr-FR"/>
        </w:rPr>
        <w:t xml:space="preserve"> pour 3345 à la même époque saison passée.</w:t>
      </w:r>
    </w:p>
    <w:p w14:paraId="5048CA61" w14:textId="1E11052C" w:rsidR="00960481" w:rsidRDefault="00960481" w:rsidP="0096048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Il y a pour l’aile francophone 1</w:t>
      </w:r>
      <w:r w:rsidR="00BB3909">
        <w:rPr>
          <w:lang w:val="fr-FR"/>
        </w:rPr>
        <w:t>6103</w:t>
      </w:r>
      <w:r>
        <w:rPr>
          <w:lang w:val="fr-FR"/>
        </w:rPr>
        <w:t xml:space="preserve"> affiliés</w:t>
      </w:r>
      <w:r w:rsidR="00BB3909">
        <w:rPr>
          <w:lang w:val="fr-FR"/>
        </w:rPr>
        <w:t xml:space="preserve"> et licences récréatives</w:t>
      </w:r>
      <w:r>
        <w:rPr>
          <w:lang w:val="fr-FR"/>
        </w:rPr>
        <w:t xml:space="preserve"> pour 1</w:t>
      </w:r>
      <w:r w:rsidR="00BB3909">
        <w:rPr>
          <w:lang w:val="fr-FR"/>
        </w:rPr>
        <w:t xml:space="preserve">5456 </w:t>
      </w:r>
      <w:r>
        <w:rPr>
          <w:lang w:val="fr-FR"/>
        </w:rPr>
        <w:t>à la même époque saison passée.</w:t>
      </w:r>
    </w:p>
    <w:p w14:paraId="1327F973" w14:textId="7F996693" w:rsidR="00F97E82" w:rsidRDefault="00F97E82" w:rsidP="00960481">
      <w:pPr>
        <w:spacing w:after="0" w:line="240" w:lineRule="auto"/>
        <w:jc w:val="both"/>
        <w:rPr>
          <w:lang w:val="fr-FR"/>
        </w:rPr>
      </w:pPr>
    </w:p>
    <w:p w14:paraId="3B00FF47" w14:textId="2C86ED83" w:rsidR="00F97E82" w:rsidRDefault="00F97E82" w:rsidP="0096048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Quelques statistiques aussi au niveau des dames affiliées à la FRBTT et leur participation aux interclubs :</w:t>
      </w:r>
    </w:p>
    <w:p w14:paraId="4F527FF9" w14:textId="2B0454F1" w:rsidR="00F97E82" w:rsidRDefault="00F97E82" w:rsidP="00960481">
      <w:pPr>
        <w:spacing w:after="0" w:line="240" w:lineRule="auto"/>
        <w:jc w:val="both"/>
        <w:rPr>
          <w:lang w:val="fr-FR"/>
        </w:rPr>
      </w:pP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2422"/>
        <w:gridCol w:w="663"/>
        <w:gridCol w:w="708"/>
        <w:gridCol w:w="1747"/>
        <w:gridCol w:w="1145"/>
        <w:gridCol w:w="39"/>
        <w:gridCol w:w="1196"/>
        <w:gridCol w:w="1145"/>
        <w:gridCol w:w="39"/>
      </w:tblGrid>
      <w:tr w:rsidR="00142AE8" w14:paraId="28A66571" w14:textId="77777777" w:rsidTr="00142AE8">
        <w:trPr>
          <w:gridAfter w:val="1"/>
          <w:wAfter w:w="39" w:type="dxa"/>
        </w:trPr>
        <w:tc>
          <w:tcPr>
            <w:tcW w:w="2422" w:type="dxa"/>
          </w:tcPr>
          <w:p w14:paraId="7BB8FF45" w14:textId="77777777" w:rsidR="00142AE8" w:rsidRDefault="00142AE8" w:rsidP="00960481">
            <w:pPr>
              <w:jc w:val="both"/>
              <w:rPr>
                <w:lang w:val="fr-FR"/>
              </w:rPr>
            </w:pPr>
          </w:p>
        </w:tc>
        <w:tc>
          <w:tcPr>
            <w:tcW w:w="1371" w:type="dxa"/>
            <w:gridSpan w:val="2"/>
          </w:tcPr>
          <w:p w14:paraId="63D3B13E" w14:textId="1EF5E12E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FRBTT</w:t>
            </w:r>
          </w:p>
        </w:tc>
        <w:tc>
          <w:tcPr>
            <w:tcW w:w="2892" w:type="dxa"/>
            <w:gridSpan w:val="2"/>
          </w:tcPr>
          <w:p w14:paraId="76A5B6D8" w14:textId="61743DD6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   AFTT</w:t>
            </w:r>
          </w:p>
        </w:tc>
        <w:tc>
          <w:tcPr>
            <w:tcW w:w="2380" w:type="dxa"/>
            <w:gridSpan w:val="3"/>
          </w:tcPr>
          <w:p w14:paraId="7DD67DD6" w14:textId="6CEE5621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  VTTL</w:t>
            </w:r>
          </w:p>
        </w:tc>
      </w:tr>
      <w:tr w:rsidR="00142AE8" w14:paraId="39177E03" w14:textId="77777777" w:rsidTr="00142AE8">
        <w:tc>
          <w:tcPr>
            <w:tcW w:w="2422" w:type="dxa"/>
          </w:tcPr>
          <w:p w14:paraId="128E6CB5" w14:textId="5E9E71D6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Nb de dames</w:t>
            </w:r>
          </w:p>
        </w:tc>
        <w:tc>
          <w:tcPr>
            <w:tcW w:w="663" w:type="dxa"/>
          </w:tcPr>
          <w:p w14:paraId="7CED0842" w14:textId="757F9B11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3621</w:t>
            </w:r>
          </w:p>
        </w:tc>
        <w:tc>
          <w:tcPr>
            <w:tcW w:w="708" w:type="dxa"/>
          </w:tcPr>
          <w:p w14:paraId="2C62C822" w14:textId="42B137E8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100%</w:t>
            </w:r>
          </w:p>
        </w:tc>
        <w:tc>
          <w:tcPr>
            <w:tcW w:w="1747" w:type="dxa"/>
          </w:tcPr>
          <w:p w14:paraId="64A49970" w14:textId="0F756AB8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2330</w:t>
            </w:r>
          </w:p>
        </w:tc>
        <w:tc>
          <w:tcPr>
            <w:tcW w:w="1184" w:type="dxa"/>
            <w:gridSpan w:val="2"/>
          </w:tcPr>
          <w:p w14:paraId="199F5CC5" w14:textId="23F82755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64%</w:t>
            </w:r>
          </w:p>
        </w:tc>
        <w:tc>
          <w:tcPr>
            <w:tcW w:w="1196" w:type="dxa"/>
          </w:tcPr>
          <w:p w14:paraId="11B6A771" w14:textId="50817C5B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1291</w:t>
            </w:r>
          </w:p>
        </w:tc>
        <w:tc>
          <w:tcPr>
            <w:tcW w:w="1184" w:type="dxa"/>
            <w:gridSpan w:val="2"/>
          </w:tcPr>
          <w:p w14:paraId="27426488" w14:textId="0B081377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36%</w:t>
            </w:r>
          </w:p>
        </w:tc>
      </w:tr>
      <w:tr w:rsidR="00142AE8" w14:paraId="41298DB2" w14:textId="77777777" w:rsidTr="00142AE8">
        <w:tc>
          <w:tcPr>
            <w:tcW w:w="2422" w:type="dxa"/>
          </w:tcPr>
          <w:p w14:paraId="554A134D" w14:textId="260BBDEE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Totalement inactives</w:t>
            </w:r>
          </w:p>
        </w:tc>
        <w:tc>
          <w:tcPr>
            <w:tcW w:w="663" w:type="dxa"/>
          </w:tcPr>
          <w:p w14:paraId="15D3657D" w14:textId="18A71FC0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1640</w:t>
            </w:r>
          </w:p>
        </w:tc>
        <w:tc>
          <w:tcPr>
            <w:tcW w:w="708" w:type="dxa"/>
          </w:tcPr>
          <w:p w14:paraId="69E93131" w14:textId="5B31E4F1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45%</w:t>
            </w:r>
          </w:p>
        </w:tc>
        <w:tc>
          <w:tcPr>
            <w:tcW w:w="1747" w:type="dxa"/>
          </w:tcPr>
          <w:p w14:paraId="32111B43" w14:textId="42D3D5E3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820</w:t>
            </w:r>
          </w:p>
        </w:tc>
        <w:tc>
          <w:tcPr>
            <w:tcW w:w="1184" w:type="dxa"/>
            <w:gridSpan w:val="2"/>
          </w:tcPr>
          <w:p w14:paraId="554FB9D9" w14:textId="61AD5393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35%</w:t>
            </w:r>
          </w:p>
        </w:tc>
        <w:tc>
          <w:tcPr>
            <w:tcW w:w="1196" w:type="dxa"/>
          </w:tcPr>
          <w:p w14:paraId="6E9991DF" w14:textId="5D7654C8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820</w:t>
            </w:r>
          </w:p>
        </w:tc>
        <w:tc>
          <w:tcPr>
            <w:tcW w:w="1184" w:type="dxa"/>
            <w:gridSpan w:val="2"/>
          </w:tcPr>
          <w:p w14:paraId="147E0243" w14:textId="5B983AA6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64%</w:t>
            </w:r>
          </w:p>
        </w:tc>
      </w:tr>
      <w:tr w:rsidR="00142AE8" w14:paraId="6F3CD6CF" w14:textId="77777777" w:rsidTr="00142AE8">
        <w:tc>
          <w:tcPr>
            <w:tcW w:w="2422" w:type="dxa"/>
          </w:tcPr>
          <w:p w14:paraId="722DB8D5" w14:textId="4705E364" w:rsidR="00142AE8" w:rsidRDefault="00142AE8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Actives H – Inactives D</w:t>
            </w:r>
          </w:p>
        </w:tc>
        <w:tc>
          <w:tcPr>
            <w:tcW w:w="663" w:type="dxa"/>
          </w:tcPr>
          <w:p w14:paraId="5F18B50B" w14:textId="75FE5962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894</w:t>
            </w:r>
          </w:p>
        </w:tc>
        <w:tc>
          <w:tcPr>
            <w:tcW w:w="708" w:type="dxa"/>
          </w:tcPr>
          <w:p w14:paraId="51E655F7" w14:textId="59B3D117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25%</w:t>
            </w:r>
          </w:p>
        </w:tc>
        <w:tc>
          <w:tcPr>
            <w:tcW w:w="1747" w:type="dxa"/>
          </w:tcPr>
          <w:p w14:paraId="0C7CBEF3" w14:textId="7D88D5CA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560</w:t>
            </w:r>
          </w:p>
        </w:tc>
        <w:tc>
          <w:tcPr>
            <w:tcW w:w="1184" w:type="dxa"/>
            <w:gridSpan w:val="2"/>
          </w:tcPr>
          <w:p w14:paraId="28B61811" w14:textId="3FC7CCA4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24%</w:t>
            </w:r>
          </w:p>
        </w:tc>
        <w:tc>
          <w:tcPr>
            <w:tcW w:w="1196" w:type="dxa"/>
          </w:tcPr>
          <w:p w14:paraId="6CC608F5" w14:textId="76288A7A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334</w:t>
            </w:r>
          </w:p>
        </w:tc>
        <w:tc>
          <w:tcPr>
            <w:tcW w:w="1184" w:type="dxa"/>
            <w:gridSpan w:val="2"/>
          </w:tcPr>
          <w:p w14:paraId="04529578" w14:textId="4A2940BF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41%</w:t>
            </w:r>
          </w:p>
        </w:tc>
      </w:tr>
      <w:tr w:rsidR="00142AE8" w14:paraId="3194FBF1" w14:textId="77777777" w:rsidTr="00142AE8">
        <w:tc>
          <w:tcPr>
            <w:tcW w:w="2422" w:type="dxa"/>
          </w:tcPr>
          <w:p w14:paraId="0C09C893" w14:textId="0FEAAE1D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Actives D – Inactives H</w:t>
            </w:r>
          </w:p>
        </w:tc>
        <w:tc>
          <w:tcPr>
            <w:tcW w:w="663" w:type="dxa"/>
          </w:tcPr>
          <w:p w14:paraId="6E606F2A" w14:textId="4305E702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366</w:t>
            </w:r>
          </w:p>
        </w:tc>
        <w:tc>
          <w:tcPr>
            <w:tcW w:w="708" w:type="dxa"/>
          </w:tcPr>
          <w:p w14:paraId="04958E34" w14:textId="5204C7A4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10%</w:t>
            </w:r>
          </w:p>
        </w:tc>
        <w:tc>
          <w:tcPr>
            <w:tcW w:w="1747" w:type="dxa"/>
          </w:tcPr>
          <w:p w14:paraId="787D22C0" w14:textId="38B2F174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345</w:t>
            </w:r>
          </w:p>
        </w:tc>
        <w:tc>
          <w:tcPr>
            <w:tcW w:w="1184" w:type="dxa"/>
            <w:gridSpan w:val="2"/>
          </w:tcPr>
          <w:p w14:paraId="73AB12FD" w14:textId="0F3F2D9B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15%</w:t>
            </w:r>
          </w:p>
        </w:tc>
        <w:tc>
          <w:tcPr>
            <w:tcW w:w="1196" w:type="dxa"/>
          </w:tcPr>
          <w:p w14:paraId="05045BD7" w14:textId="7FE55466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1184" w:type="dxa"/>
            <w:gridSpan w:val="2"/>
          </w:tcPr>
          <w:p w14:paraId="1343F830" w14:textId="0C7A17D6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2%</w:t>
            </w:r>
          </w:p>
        </w:tc>
      </w:tr>
      <w:tr w:rsidR="00142AE8" w14:paraId="62B2BFC9" w14:textId="77777777" w:rsidTr="00142AE8">
        <w:tc>
          <w:tcPr>
            <w:tcW w:w="2422" w:type="dxa"/>
          </w:tcPr>
          <w:p w14:paraId="3B92105D" w14:textId="5E169C78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Actives H et D</w:t>
            </w:r>
          </w:p>
        </w:tc>
        <w:tc>
          <w:tcPr>
            <w:tcW w:w="663" w:type="dxa"/>
          </w:tcPr>
          <w:p w14:paraId="6D8A8205" w14:textId="2BD7AF0F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721</w:t>
            </w:r>
          </w:p>
        </w:tc>
        <w:tc>
          <w:tcPr>
            <w:tcW w:w="708" w:type="dxa"/>
          </w:tcPr>
          <w:p w14:paraId="75AAE988" w14:textId="217B7B4C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20%</w:t>
            </w:r>
          </w:p>
        </w:tc>
        <w:tc>
          <w:tcPr>
            <w:tcW w:w="1747" w:type="dxa"/>
          </w:tcPr>
          <w:p w14:paraId="38CE0004" w14:textId="1044E011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605</w:t>
            </w:r>
          </w:p>
        </w:tc>
        <w:tc>
          <w:tcPr>
            <w:tcW w:w="1184" w:type="dxa"/>
            <w:gridSpan w:val="2"/>
          </w:tcPr>
          <w:p w14:paraId="51E36BCC" w14:textId="0B414A7A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26%</w:t>
            </w:r>
          </w:p>
        </w:tc>
        <w:tc>
          <w:tcPr>
            <w:tcW w:w="1196" w:type="dxa"/>
          </w:tcPr>
          <w:p w14:paraId="1CAB62DA" w14:textId="68F23B6B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116</w:t>
            </w:r>
          </w:p>
        </w:tc>
        <w:tc>
          <w:tcPr>
            <w:tcW w:w="1184" w:type="dxa"/>
            <w:gridSpan w:val="2"/>
          </w:tcPr>
          <w:p w14:paraId="75FC14B1" w14:textId="044CA71B" w:rsidR="00142AE8" w:rsidRDefault="007E186B" w:rsidP="0096048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9%</w:t>
            </w:r>
          </w:p>
        </w:tc>
      </w:tr>
    </w:tbl>
    <w:p w14:paraId="603B6117" w14:textId="0BB3609F" w:rsidR="00F97E82" w:rsidRDefault="00F97E82" w:rsidP="00960481">
      <w:pPr>
        <w:spacing w:after="0" w:line="240" w:lineRule="auto"/>
        <w:jc w:val="both"/>
        <w:rPr>
          <w:lang w:val="fr-FR"/>
        </w:rPr>
      </w:pPr>
    </w:p>
    <w:p w14:paraId="7B8E74DF" w14:textId="5028F0E1" w:rsidR="007E186B" w:rsidRDefault="007E186B" w:rsidP="0096048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En ce qui concerne le nombre d’équipes dames inscrites, il y a 233 équipes pour l’ensemble de la FRBTT, réparties pour 204 à l’AFTT dont 23 en province de Liège.</w:t>
      </w:r>
    </w:p>
    <w:p w14:paraId="4DADCC4B" w14:textId="1F8329F2" w:rsidR="007E186B" w:rsidRDefault="007E186B" w:rsidP="00960481">
      <w:pPr>
        <w:spacing w:after="0" w:line="240" w:lineRule="auto"/>
        <w:jc w:val="both"/>
        <w:rPr>
          <w:lang w:val="fr-FR"/>
        </w:rPr>
      </w:pPr>
    </w:p>
    <w:p w14:paraId="05ECF472" w14:textId="50AD40D0" w:rsidR="007E186B" w:rsidRDefault="007E186B" w:rsidP="007E186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8214A5">
        <w:rPr>
          <w:b/>
          <w:bCs/>
          <w:u w:val="single"/>
          <w:lang w:val="fr-FR"/>
        </w:rPr>
        <w:t>Interclubs et tours finaux</w:t>
      </w:r>
      <w:r>
        <w:rPr>
          <w:lang w:val="fr-FR"/>
        </w:rPr>
        <w:t> :</w:t>
      </w:r>
    </w:p>
    <w:p w14:paraId="219C4089" w14:textId="0D28B1B4" w:rsidR="007E186B" w:rsidRDefault="007E186B" w:rsidP="007E186B">
      <w:pPr>
        <w:spacing w:after="0" w:line="240" w:lineRule="auto"/>
        <w:jc w:val="both"/>
        <w:rPr>
          <w:lang w:val="fr-FR"/>
        </w:rPr>
      </w:pPr>
    </w:p>
    <w:p w14:paraId="6D35EE1A" w14:textId="01D228DD" w:rsidR="007E186B" w:rsidRDefault="007E186B" w:rsidP="007E186B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Les tours finaux auront bien lieu avec des matchs</w:t>
      </w:r>
      <w:r w:rsidR="001845E1">
        <w:rPr>
          <w:lang w:val="fr-FR"/>
        </w:rPr>
        <w:t xml:space="preserve"> dispatchés dans différents clubs avant la journée finale qui aura lieu le 21 mai au CFTT de Blegny</w:t>
      </w:r>
    </w:p>
    <w:p w14:paraId="7676454D" w14:textId="0A020372" w:rsidR="001845E1" w:rsidRDefault="001845E1" w:rsidP="007E186B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En ce qui concerne les matchs de barrage, conformément à l’annonce effectuée lors de l’assemblée générale de fin de saison 2020-2021, ceux-ci n’auront pas lieu. </w:t>
      </w:r>
    </w:p>
    <w:p w14:paraId="0A4AECEE" w14:textId="5E6DD03B" w:rsidR="001845E1" w:rsidRDefault="001845E1" w:rsidP="007E186B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Cette décision a été prise par le comité provincial afin d’écourter la saison</w:t>
      </w:r>
      <w:r w:rsidR="00DC683A">
        <w:rPr>
          <w:lang w:val="fr-FR"/>
        </w:rPr>
        <w:t>, l</w:t>
      </w:r>
      <w:r>
        <w:rPr>
          <w:lang w:val="fr-FR"/>
        </w:rPr>
        <w:t>es matchs de barrage trouvant difficilement des locaux</w:t>
      </w:r>
      <w:r w:rsidR="00DC683A">
        <w:rPr>
          <w:lang w:val="fr-FR"/>
        </w:rPr>
        <w:t>,</w:t>
      </w:r>
      <w:r>
        <w:rPr>
          <w:lang w:val="fr-FR"/>
        </w:rPr>
        <w:t xml:space="preserve"> les forfaits enregistrés dès le début ou en cours </w:t>
      </w:r>
      <w:r w:rsidR="00DC683A">
        <w:rPr>
          <w:lang w:val="fr-FR"/>
        </w:rPr>
        <w:t>de barrage étant légion</w:t>
      </w:r>
    </w:p>
    <w:p w14:paraId="579153B6" w14:textId="35DA561B" w:rsidR="001845E1" w:rsidRDefault="001845E1" w:rsidP="007E186B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Une méthode initiée par B Van </w:t>
      </w:r>
      <w:proofErr w:type="spellStart"/>
      <w:r>
        <w:rPr>
          <w:lang w:val="fr-FR"/>
        </w:rPr>
        <w:t>Kerm</w:t>
      </w:r>
      <w:proofErr w:type="spellEnd"/>
      <w:r>
        <w:rPr>
          <w:lang w:val="fr-FR"/>
        </w:rPr>
        <w:t xml:space="preserve"> sera utilisée pour établir l’ordre dans lequel les montants supplémentaires et les réservistes seront classés.</w:t>
      </w:r>
    </w:p>
    <w:p w14:paraId="14260827" w14:textId="12137871" w:rsidR="00DC683A" w:rsidRDefault="00DC683A" w:rsidP="007E186B">
      <w:pPr>
        <w:spacing w:after="0" w:line="240" w:lineRule="auto"/>
        <w:ind w:left="708"/>
        <w:jc w:val="both"/>
        <w:rPr>
          <w:lang w:val="fr-FR"/>
        </w:rPr>
      </w:pPr>
    </w:p>
    <w:p w14:paraId="10004A57" w14:textId="70A746FD" w:rsidR="00DC683A" w:rsidRDefault="00DC683A" w:rsidP="007E186B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Une interpellation du club de </w:t>
      </w:r>
      <w:proofErr w:type="spellStart"/>
      <w:r>
        <w:rPr>
          <w:lang w:val="fr-FR"/>
        </w:rPr>
        <w:t>Géromont</w:t>
      </w:r>
      <w:proofErr w:type="spellEnd"/>
      <w:r>
        <w:rPr>
          <w:lang w:val="fr-FR"/>
        </w:rPr>
        <w:t xml:space="preserve"> à ce sujet sera examinée lors de l’assemblée générale et devrait être votée pour son éventuelle application lors de la prochaine saison, à défaut de recueillir une majorité, le système mis en place actuellement restera d’application.</w:t>
      </w:r>
    </w:p>
    <w:p w14:paraId="5C5B51E4" w14:textId="36618CF1" w:rsidR="00DC683A" w:rsidRDefault="00DC683A" w:rsidP="007E186B">
      <w:pPr>
        <w:spacing w:after="0" w:line="240" w:lineRule="auto"/>
        <w:ind w:left="708"/>
        <w:jc w:val="both"/>
        <w:rPr>
          <w:lang w:val="fr-FR"/>
        </w:rPr>
      </w:pPr>
    </w:p>
    <w:p w14:paraId="5768CFB8" w14:textId="698B0285" w:rsidR="00DC683A" w:rsidRDefault="00DC683A" w:rsidP="007E186B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La règle, concernant l’alignement des joueurs qui sera d’application lors de la saison prochaine et qui suscite bien des débats, mérite quelques précisons </w:t>
      </w:r>
      <w:r w:rsidR="00CA49C5">
        <w:rPr>
          <w:lang w:val="fr-FR"/>
        </w:rPr>
        <w:t>quant à sa compréhension.</w:t>
      </w:r>
    </w:p>
    <w:p w14:paraId="14EC903F" w14:textId="2798FC74" w:rsidR="00CA49C5" w:rsidRDefault="00CA49C5" w:rsidP="007E186B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Après avoir relu en détails, les tenants et aboutissants de cette règle, il en résulte que :</w:t>
      </w:r>
    </w:p>
    <w:p w14:paraId="3319B8C5" w14:textId="031D148D" w:rsidR="00CA49C5" w:rsidRDefault="00CA49C5" w:rsidP="007E186B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L’équipe inférieure devra obligatoirement avoir comme premier joueur, un joueur au classement équivalent</w:t>
      </w:r>
      <w:r w:rsidR="00BB3909">
        <w:rPr>
          <w:lang w:val="fr-FR"/>
        </w:rPr>
        <w:t xml:space="preserve"> ou inférieur</w:t>
      </w:r>
      <w:r>
        <w:rPr>
          <w:lang w:val="fr-FR"/>
        </w:rPr>
        <w:t xml:space="preserve"> au troisième joueur effectivement présent dans l’équipe supérieure. Cette règle ne fera pas l’effet cascade pour toutes les autres équipes, comme certains l’avaient comprise initialement.</w:t>
      </w:r>
    </w:p>
    <w:p w14:paraId="364F7733" w14:textId="39A2BAB8" w:rsidR="00CA49C5" w:rsidRDefault="00CA49C5" w:rsidP="007E186B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Donc en résumé, l’effet de la règle est limité à l’équipe directement inférieure à l’équipe concernée par la présence d’un WO dans sa composition</w:t>
      </w:r>
      <w:r w:rsidR="00263ED0">
        <w:rPr>
          <w:lang w:val="fr-FR"/>
        </w:rPr>
        <w:t>.</w:t>
      </w:r>
    </w:p>
    <w:p w14:paraId="32E20A39" w14:textId="24AEFD55" w:rsidR="00263ED0" w:rsidRDefault="00263ED0" w:rsidP="007E186B">
      <w:pPr>
        <w:spacing w:after="0" w:line="240" w:lineRule="auto"/>
        <w:ind w:left="708"/>
        <w:jc w:val="both"/>
        <w:rPr>
          <w:lang w:val="fr-FR"/>
        </w:rPr>
      </w:pPr>
    </w:p>
    <w:p w14:paraId="68396A70" w14:textId="0DAA05E5" w:rsidR="00263ED0" w:rsidRDefault="00263ED0" w:rsidP="007E186B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lastRenderedPageBreak/>
        <w:t>Les journées 21 et 22 de la future saison, prévues le 15 et 22 avril (après trois semaines d’interruption) seront déplacées au 25 mars et 1 avril. D’autres province</w:t>
      </w:r>
      <w:r w:rsidR="00BB3909">
        <w:rPr>
          <w:lang w:val="fr-FR"/>
        </w:rPr>
        <w:t>s</w:t>
      </w:r>
      <w:r>
        <w:rPr>
          <w:lang w:val="fr-FR"/>
        </w:rPr>
        <w:t xml:space="preserve"> ont déjà adapté leur calendrier, le championnat IWB pourrait également suivre.</w:t>
      </w:r>
    </w:p>
    <w:p w14:paraId="740CE412" w14:textId="1FC693D5" w:rsidR="00263ED0" w:rsidRDefault="00263ED0" w:rsidP="00263E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8214A5">
        <w:rPr>
          <w:b/>
          <w:bCs/>
          <w:u w:val="single"/>
          <w:lang w:val="fr-FR"/>
        </w:rPr>
        <w:t>Assemblée générale</w:t>
      </w:r>
      <w:r>
        <w:rPr>
          <w:lang w:val="fr-FR"/>
        </w:rPr>
        <w:t> :</w:t>
      </w:r>
    </w:p>
    <w:p w14:paraId="20220CD3" w14:textId="393858FF" w:rsidR="00263ED0" w:rsidRDefault="00263ED0" w:rsidP="00263ED0">
      <w:pPr>
        <w:spacing w:after="0" w:line="240" w:lineRule="auto"/>
        <w:jc w:val="both"/>
        <w:rPr>
          <w:lang w:val="fr-FR"/>
        </w:rPr>
      </w:pPr>
    </w:p>
    <w:p w14:paraId="41BB0F5F" w14:textId="79646AEF" w:rsidR="00263ED0" w:rsidRDefault="00263ED0" w:rsidP="00263ED0">
      <w:pPr>
        <w:spacing w:after="0" w:line="240" w:lineRule="auto"/>
        <w:ind w:left="360"/>
        <w:jc w:val="both"/>
        <w:rPr>
          <w:lang w:val="fr-FR"/>
        </w:rPr>
      </w:pPr>
      <w:r>
        <w:rPr>
          <w:lang w:val="fr-FR"/>
        </w:rPr>
        <w:t xml:space="preserve">Appel a été fait à de nouveaux candidats, nous avons reçu deux candidatures à ce jour, celles de V. </w:t>
      </w:r>
      <w:proofErr w:type="spellStart"/>
      <w:r>
        <w:rPr>
          <w:lang w:val="fr-FR"/>
        </w:rPr>
        <w:t>Desir</w:t>
      </w:r>
      <w:proofErr w:type="spellEnd"/>
      <w:r>
        <w:rPr>
          <w:lang w:val="fr-FR"/>
        </w:rPr>
        <w:t xml:space="preserve"> et de N. </w:t>
      </w:r>
      <w:proofErr w:type="spellStart"/>
      <w:r>
        <w:rPr>
          <w:lang w:val="fr-FR"/>
        </w:rPr>
        <w:t>Herckens</w:t>
      </w:r>
      <w:proofErr w:type="spellEnd"/>
      <w:r>
        <w:rPr>
          <w:lang w:val="fr-FR"/>
        </w:rPr>
        <w:t>. Trois autres sont évoquées mais sont dans l’attente d’</w:t>
      </w:r>
      <w:r w:rsidR="002F6468">
        <w:rPr>
          <w:lang w:val="fr-FR"/>
        </w:rPr>
        <w:t xml:space="preserve">une officialisation (J </w:t>
      </w:r>
      <w:proofErr w:type="spellStart"/>
      <w:r w:rsidR="002F6468">
        <w:rPr>
          <w:lang w:val="fr-FR"/>
        </w:rPr>
        <w:t>Boniver</w:t>
      </w:r>
      <w:proofErr w:type="spellEnd"/>
      <w:r w:rsidR="002F6468">
        <w:rPr>
          <w:lang w:val="fr-FR"/>
        </w:rPr>
        <w:t xml:space="preserve">, R Ceulemans, R </w:t>
      </w:r>
      <w:proofErr w:type="spellStart"/>
      <w:r w:rsidR="002F6468">
        <w:rPr>
          <w:lang w:val="fr-FR"/>
        </w:rPr>
        <w:t>Rikir</w:t>
      </w:r>
      <w:proofErr w:type="spellEnd"/>
      <w:r w:rsidR="002F6468">
        <w:rPr>
          <w:lang w:val="fr-FR"/>
        </w:rPr>
        <w:t>)</w:t>
      </w:r>
    </w:p>
    <w:p w14:paraId="1C6753B4" w14:textId="4EB0DD29" w:rsidR="00ED7B1D" w:rsidRDefault="00ED7B1D" w:rsidP="00263ED0">
      <w:pPr>
        <w:spacing w:after="0" w:line="240" w:lineRule="auto"/>
        <w:ind w:left="360"/>
        <w:jc w:val="both"/>
        <w:rPr>
          <w:lang w:val="fr-FR"/>
        </w:rPr>
      </w:pPr>
      <w:r>
        <w:rPr>
          <w:lang w:val="fr-FR"/>
        </w:rPr>
        <w:t xml:space="preserve">Le comité est actuellement composé de 9 membres. </w:t>
      </w:r>
      <w:r w:rsidR="00D45030">
        <w:rPr>
          <w:lang w:val="fr-FR"/>
        </w:rPr>
        <w:t>Si toutes les candidatures sont rentrées et éligibles, il y aurait 12 candidats pour 10 postes au comité</w:t>
      </w:r>
      <w:r w:rsidR="00BB3909">
        <w:rPr>
          <w:lang w:val="fr-FR"/>
        </w:rPr>
        <w:t>.</w:t>
      </w:r>
    </w:p>
    <w:p w14:paraId="278661D9" w14:textId="696481E5" w:rsidR="002F6468" w:rsidRDefault="002F6468" w:rsidP="00263ED0">
      <w:pPr>
        <w:spacing w:after="0" w:line="240" w:lineRule="auto"/>
        <w:ind w:left="360"/>
        <w:jc w:val="both"/>
        <w:rPr>
          <w:lang w:val="fr-FR"/>
        </w:rPr>
      </w:pPr>
    </w:p>
    <w:p w14:paraId="4FD813A5" w14:textId="04F46481" w:rsidR="002F6468" w:rsidRDefault="002F6468" w:rsidP="00263ED0">
      <w:pPr>
        <w:spacing w:after="0" w:line="240" w:lineRule="auto"/>
        <w:ind w:left="360"/>
        <w:jc w:val="both"/>
        <w:rPr>
          <w:lang w:val="fr-FR"/>
        </w:rPr>
      </w:pPr>
      <w:r>
        <w:rPr>
          <w:lang w:val="fr-FR"/>
        </w:rPr>
        <w:t>C Junius ne se représentera pas pour un nouveau mandat. Après 30 années passées au sein du comité provincial</w:t>
      </w:r>
      <w:r w:rsidR="00BB3909">
        <w:rPr>
          <w:lang w:val="fr-FR"/>
        </w:rPr>
        <w:t>,</w:t>
      </w:r>
      <w:r>
        <w:rPr>
          <w:lang w:val="fr-FR"/>
        </w:rPr>
        <w:t xml:space="preserve"> celui-ci a décidé de se retirer. Le comité provincial le remercie pour tout son investissement durant ces nombreuses années.</w:t>
      </w:r>
    </w:p>
    <w:p w14:paraId="55044916" w14:textId="4A758A11" w:rsidR="00ED7B1D" w:rsidRDefault="002F6468" w:rsidP="00BB3909">
      <w:pPr>
        <w:spacing w:after="0" w:line="240" w:lineRule="auto"/>
        <w:ind w:left="360"/>
        <w:jc w:val="both"/>
        <w:rPr>
          <w:lang w:val="fr-FR"/>
        </w:rPr>
      </w:pPr>
      <w:r>
        <w:rPr>
          <w:lang w:val="fr-FR"/>
        </w:rPr>
        <w:t xml:space="preserve">C. </w:t>
      </w:r>
      <w:proofErr w:type="spellStart"/>
      <w:r>
        <w:rPr>
          <w:lang w:val="fr-FR"/>
        </w:rPr>
        <w:t>Bletard</w:t>
      </w:r>
      <w:proofErr w:type="spellEnd"/>
      <w:r>
        <w:rPr>
          <w:lang w:val="fr-FR"/>
        </w:rPr>
        <w:t xml:space="preserve"> ne se représentera pas non plus</w:t>
      </w:r>
      <w:r w:rsidR="00BB3909">
        <w:rPr>
          <w:lang w:val="fr-FR"/>
        </w:rPr>
        <w:t>, pour des raisons personnelles et un manque de temps.</w:t>
      </w:r>
    </w:p>
    <w:p w14:paraId="6088567C" w14:textId="696ACD8E" w:rsidR="00ED7B1D" w:rsidRDefault="00ED7B1D" w:rsidP="00263ED0">
      <w:pPr>
        <w:spacing w:after="0" w:line="240" w:lineRule="auto"/>
        <w:ind w:left="360"/>
        <w:jc w:val="both"/>
        <w:rPr>
          <w:lang w:val="fr-FR"/>
        </w:rPr>
      </w:pPr>
    </w:p>
    <w:p w14:paraId="415CB0C1" w14:textId="4A49CD47" w:rsidR="00ED7B1D" w:rsidRDefault="00ED7B1D" w:rsidP="00263ED0">
      <w:pPr>
        <w:spacing w:after="0" w:line="240" w:lineRule="auto"/>
        <w:ind w:left="360"/>
        <w:jc w:val="both"/>
        <w:rPr>
          <w:lang w:val="fr-FR"/>
        </w:rPr>
      </w:pPr>
      <w:r>
        <w:rPr>
          <w:lang w:val="fr-FR"/>
        </w:rPr>
        <w:t>Pour les postes de membres effectifs à l’AFTT, nous avons droit à 7 postes, les 7 membres du comité provincial qui se représenteront aux votes de l’assemblée générale, sont candidats à ces postes</w:t>
      </w:r>
      <w:r w:rsidR="00005AE7">
        <w:rPr>
          <w:lang w:val="fr-FR"/>
        </w:rPr>
        <w:t xml:space="preserve"> et nous attendons le 6 mai pour voir s’il y aura d’autres candidats</w:t>
      </w:r>
      <w:r>
        <w:rPr>
          <w:lang w:val="fr-FR"/>
        </w:rPr>
        <w:t>.</w:t>
      </w:r>
    </w:p>
    <w:p w14:paraId="10BA498A" w14:textId="55A3E63C" w:rsidR="00D45030" w:rsidRDefault="00D45030" w:rsidP="00263ED0">
      <w:pPr>
        <w:spacing w:after="0" w:line="240" w:lineRule="auto"/>
        <w:ind w:left="360"/>
        <w:jc w:val="both"/>
        <w:rPr>
          <w:lang w:val="fr-FR"/>
        </w:rPr>
      </w:pPr>
    </w:p>
    <w:p w14:paraId="0BC477FF" w14:textId="0C55083E" w:rsidR="00D45030" w:rsidRDefault="00D45030" w:rsidP="00263ED0">
      <w:pPr>
        <w:spacing w:after="0" w:line="240" w:lineRule="auto"/>
        <w:ind w:left="360"/>
        <w:jc w:val="both"/>
        <w:rPr>
          <w:lang w:val="fr-FR"/>
        </w:rPr>
      </w:pPr>
      <w:r>
        <w:rPr>
          <w:lang w:val="fr-FR"/>
        </w:rPr>
        <w:t xml:space="preserve">Au niveau des interpellations, celle de </w:t>
      </w:r>
      <w:proofErr w:type="spellStart"/>
      <w:r>
        <w:rPr>
          <w:lang w:val="fr-FR"/>
        </w:rPr>
        <w:t>Géromont</w:t>
      </w:r>
      <w:proofErr w:type="spellEnd"/>
      <w:r>
        <w:rPr>
          <w:lang w:val="fr-FR"/>
        </w:rPr>
        <w:t xml:space="preserve"> sera présentée lors de l’AG.</w:t>
      </w:r>
    </w:p>
    <w:p w14:paraId="02DFEF4B" w14:textId="5831EFC1" w:rsidR="00D45030" w:rsidRDefault="00D45030" w:rsidP="00263ED0">
      <w:pPr>
        <w:spacing w:after="0" w:line="240" w:lineRule="auto"/>
        <w:ind w:left="360"/>
        <w:jc w:val="both"/>
        <w:rPr>
          <w:lang w:val="fr-FR"/>
        </w:rPr>
      </w:pPr>
      <w:r>
        <w:rPr>
          <w:lang w:val="fr-FR"/>
        </w:rPr>
        <w:t xml:space="preserve">En ce qui concerne l’interpellation du club de Herve celle-ci ne sera pas soumise dans son ensemble, en effet une instruction judiciaire étant en cours. Le vote de méfiance envers L Meyers et Y Douin sera quant à lui, mis à l’ordre du jour </w:t>
      </w:r>
      <w:r w:rsidR="00005AE7">
        <w:rPr>
          <w:lang w:val="fr-FR"/>
        </w:rPr>
        <w:t>de facto dans la mesure où tous les membres passeront à l’élection.</w:t>
      </w:r>
    </w:p>
    <w:p w14:paraId="2932A065" w14:textId="163FFC9D" w:rsidR="008214A5" w:rsidRDefault="008214A5" w:rsidP="00263ED0">
      <w:pPr>
        <w:spacing w:after="0" w:line="240" w:lineRule="auto"/>
        <w:ind w:left="360"/>
        <w:jc w:val="both"/>
        <w:rPr>
          <w:lang w:val="fr-FR"/>
        </w:rPr>
      </w:pPr>
    </w:p>
    <w:p w14:paraId="2FCAD62C" w14:textId="627F4081" w:rsidR="008214A5" w:rsidRDefault="008214A5" w:rsidP="00263ED0">
      <w:pPr>
        <w:spacing w:after="0" w:line="240" w:lineRule="auto"/>
        <w:ind w:left="360"/>
        <w:jc w:val="both"/>
        <w:rPr>
          <w:lang w:val="fr-FR"/>
        </w:rPr>
      </w:pPr>
      <w:r>
        <w:rPr>
          <w:lang w:val="fr-FR"/>
        </w:rPr>
        <w:t>Les différentes commissions feront état d’un bilan de leurs activités.</w:t>
      </w:r>
    </w:p>
    <w:p w14:paraId="46DA75D3" w14:textId="45E6EBC8" w:rsidR="008214A5" w:rsidRDefault="008214A5" w:rsidP="00263ED0">
      <w:pPr>
        <w:spacing w:after="0" w:line="240" w:lineRule="auto"/>
        <w:ind w:left="360"/>
        <w:jc w:val="both"/>
        <w:rPr>
          <w:lang w:val="fr-FR"/>
        </w:rPr>
      </w:pPr>
    </w:p>
    <w:p w14:paraId="46F0201D" w14:textId="77777777" w:rsidR="008214A5" w:rsidRPr="00263ED0" w:rsidRDefault="008214A5" w:rsidP="00263ED0">
      <w:pPr>
        <w:spacing w:after="0" w:line="240" w:lineRule="auto"/>
        <w:ind w:left="360"/>
        <w:jc w:val="both"/>
        <w:rPr>
          <w:lang w:val="fr-FR"/>
        </w:rPr>
      </w:pPr>
    </w:p>
    <w:p w14:paraId="33421A91" w14:textId="77777777" w:rsidR="001845E1" w:rsidRPr="007E186B" w:rsidRDefault="001845E1" w:rsidP="007E186B">
      <w:pPr>
        <w:spacing w:after="0" w:line="240" w:lineRule="auto"/>
        <w:ind w:left="708"/>
        <w:jc w:val="both"/>
        <w:rPr>
          <w:lang w:val="fr-FR"/>
        </w:rPr>
      </w:pPr>
    </w:p>
    <w:sectPr w:rsidR="001845E1" w:rsidRPr="007E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609A"/>
    <w:multiLevelType w:val="hybridMultilevel"/>
    <w:tmpl w:val="E61C4D5C"/>
    <w:lvl w:ilvl="0" w:tplc="809A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38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81"/>
    <w:rsid w:val="00005AE7"/>
    <w:rsid w:val="00142AE8"/>
    <w:rsid w:val="001845E1"/>
    <w:rsid w:val="00263ED0"/>
    <w:rsid w:val="002A6D2F"/>
    <w:rsid w:val="002F6468"/>
    <w:rsid w:val="00520B85"/>
    <w:rsid w:val="007717E7"/>
    <w:rsid w:val="007E186B"/>
    <w:rsid w:val="008214A5"/>
    <w:rsid w:val="00960481"/>
    <w:rsid w:val="00BB3909"/>
    <w:rsid w:val="00CA49C5"/>
    <w:rsid w:val="00D45030"/>
    <w:rsid w:val="00DC683A"/>
    <w:rsid w:val="00ED7B1D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993B"/>
  <w15:chartTrackingRefBased/>
  <w15:docId w15:val="{69C5E3E5-3C7C-4F9D-B1AD-C72ED13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Maurage-PC</dc:creator>
  <cp:keywords/>
  <dc:description/>
  <cp:lastModifiedBy>Maurage-PC</cp:lastModifiedBy>
  <cp:revision>2</cp:revision>
  <dcterms:created xsi:type="dcterms:W3CDTF">2022-05-11T09:31:00Z</dcterms:created>
  <dcterms:modified xsi:type="dcterms:W3CDTF">2022-05-11T09:31:00Z</dcterms:modified>
</cp:coreProperties>
</file>